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2" w:firstLineChars="200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spacing w:val="8"/>
          <w:sz w:val="42"/>
          <w:szCs w:val="42"/>
        </w:rPr>
      </w:pPr>
      <w:r>
        <w:rPr>
          <w:rFonts w:hint="eastAsia" w:ascii="黑体" w:hAnsi="黑体" w:eastAsia="黑体" w:cs="黑体"/>
          <w:spacing w:val="8"/>
          <w:sz w:val="42"/>
          <w:szCs w:val="42"/>
        </w:rPr>
        <w:t>中国人民银行郑州培训学院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spacing w:val="8"/>
          <w:sz w:val="42"/>
          <w:szCs w:val="42"/>
        </w:rPr>
      </w:pPr>
      <w:r>
        <w:rPr>
          <w:rFonts w:hint="eastAsia" w:ascii="黑体" w:hAnsi="黑体" w:eastAsia="黑体" w:cs="黑体"/>
          <w:spacing w:val="8"/>
          <w:sz w:val="42"/>
          <w:szCs w:val="42"/>
        </w:rPr>
        <w:t>2019年度研究课题指南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1.货币政策与宏观审慎双支柱宏观调控研究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2.从宽货币到宽信用与利率市场化改革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3.中央银行资产负债表扩张与收缩的政策效应研究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金融消费者权益保护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与防范金融风险的工作实践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新形势下金融机构支持民营、小微企业发展问题研究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6.农村信用体系建设与金融精准扶贫协调发展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我国互联网金融风险问题研究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8.金融衍生品市场发展对区域经济的作用机制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9.金融供给侧结构性改革与商业银行战略转型研究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10.去杠杆过程中地方政府债务管控研究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11.健全地方金融风险防控和监管体系研究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12.互联网征信与服务模式研究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13.金融科技助力普惠金融研究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14.人民银行分支机构员工业务培训现状及分析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15.商业银行涉及央行履职业务培训问题探讨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E6F10CC"/>
    <w:rsid w:val="046B0E5B"/>
    <w:rsid w:val="324113F7"/>
    <w:rsid w:val="3E6F10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2019-03-11T02:35:00Z</dcterms:created>
  <dc:creator>郑君</dc:creator>
  <cp:lastModifiedBy>赵轲轲</cp:lastModifiedBy>
  <dcterms:modified xsi:type="dcterms:W3CDTF">2019-11-15T01:10:35Z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