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98" w:tblpY="2583"/>
        <w:tblW w:w="13814" w:type="dxa"/>
        <w:tblLayout w:type="fixed"/>
        <w:tblLook w:val="04A0" w:firstRow="1" w:lastRow="0" w:firstColumn="1" w:lastColumn="0" w:noHBand="0" w:noVBand="1"/>
      </w:tblPr>
      <w:tblGrid>
        <w:gridCol w:w="927"/>
        <w:gridCol w:w="5560"/>
        <w:gridCol w:w="2609"/>
        <w:gridCol w:w="1936"/>
        <w:gridCol w:w="995"/>
        <w:gridCol w:w="1787"/>
      </w:tblGrid>
      <w:tr w:rsidR="0083423D" w:rsidTr="0083423D">
        <w:trPr>
          <w:cantSplit/>
        </w:trPr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序</w:t>
            </w:r>
            <w:r>
              <w:rPr>
                <w:rFonts w:ascii="楷体" w:eastAsia="楷体" w:hAnsi="楷体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5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成果名称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发表刊物名称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刊期或发表时间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单位序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第一作者</w:t>
            </w:r>
          </w:p>
          <w:p w:rsidR="0083423D" w:rsidRDefault="0083423D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或者独著</w:t>
            </w:r>
          </w:p>
        </w:tc>
      </w:tr>
      <w:tr w:rsidR="0083423D" w:rsidTr="0083423D">
        <w:trPr>
          <w:cantSplit/>
          <w:trHeight w:val="440"/>
        </w:trPr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5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《关于企业金融经济效益及其风险防范的策略分析》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《今日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>财富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》</w:t>
            </w: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2021年第10期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汤鹏（独著）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《对改善企业行政管理效率的策略分析》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8027E9">
              <w:rPr>
                <w:rFonts w:ascii="楷体" w:eastAsia="楷体" w:hAnsi="楷体" w:cs="宋体" w:hint="eastAsia"/>
                <w:b/>
                <w:kern w:val="0"/>
                <w:sz w:val="24"/>
              </w:rPr>
              <w:t>《办公室业务》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AD19F9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</w:t>
            </w:r>
            <w:bookmarkStart w:id="0" w:name="_GoBack"/>
            <w:bookmarkEnd w:id="0"/>
            <w:r w:rsidR="0083423D">
              <w:rPr>
                <w:rFonts w:ascii="楷体" w:eastAsia="楷体" w:hAnsi="楷体" w:cs="宋体" w:hint="eastAsia"/>
                <w:b/>
                <w:kern w:val="0"/>
                <w:sz w:val="24"/>
              </w:rPr>
              <w:t>年第20期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汤鹏（独著）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金融衍生品市场发展的功能与路径研究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《河南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>广播电视大学学报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2021年第2期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梁晓娟（独著）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构建注册制下资本市场信息披露良好生态的思考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43645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《吉林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>金融研究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2021年第1期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张淑彩（独著）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小微企业融资信息困境及影响因素分析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943645">
              <w:rPr>
                <w:rFonts w:ascii="楷体" w:eastAsia="楷体" w:hAnsi="楷体" w:cs="宋体" w:hint="eastAsia"/>
                <w:b/>
                <w:kern w:val="0"/>
                <w:sz w:val="24"/>
              </w:rPr>
              <w:t>《黑龙江金融》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2021年第8期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张淑彩（独著）</w:t>
            </w:r>
          </w:p>
        </w:tc>
      </w:tr>
      <w:tr w:rsidR="0083423D" w:rsidTr="0083423D">
        <w:trPr>
          <w:cantSplit/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简议注册制下资本市场信息披露面临的新挑战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《黑龙江金融》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2021年第9期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张淑彩（独著）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资本市场信息披露暨治理问题研究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《金融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>理论与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实践》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2021年第3期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张淑彩（独著）</w:t>
            </w:r>
          </w:p>
        </w:tc>
      </w:tr>
      <w:tr w:rsidR="0083423D" w:rsidTr="0083423D">
        <w:trPr>
          <w:cantSplit/>
          <w:trHeight w:val="4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我国商业银行资产负责结构搭配存在的问题及简议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DF5011">
              <w:rPr>
                <w:rFonts w:ascii="楷体" w:eastAsia="楷体" w:hAnsi="楷体" w:cs="宋体" w:hint="eastAsia"/>
                <w:b/>
                <w:kern w:val="0"/>
                <w:sz w:val="24"/>
              </w:rPr>
              <w:t>《黑龙江金融》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2021年第1期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张淑彩（独著）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银行会计信息披露与监管治理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《中国金融》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2021年第1期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张淑彩（独著）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金融、科技和产业协调发展的国际经验及借鉴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《黑龙江金融》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2021年第11期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张 洁（第2）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投资人付费评级对发行人付费评级的双重影响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《征信》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2021年第11期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万芳（第2）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大别山革命根据地红色金融实践与启示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《征信》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2021年第12期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曲迎波（第1）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全面推进乡村振兴的绿色金融支持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《金融时报》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2021-3-15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textAlignment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毛彦军（第1）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绿色金融发展与工业绿色转型耦合机制及实证研究——基于河南省17个地市的经验证据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《征信》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2021年第3期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毛彦军（第1）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对我国货币政策调控框架转型的思考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《期货日报》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2021-1-18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（03）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高蕊（第1）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征信视域下我国小微企业融资难破解路径研究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《郑州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>轻工业大学学报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2021年第3期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王银枝（第1）</w:t>
            </w:r>
          </w:p>
        </w:tc>
      </w:tr>
      <w:tr w:rsidR="0083423D" w:rsidTr="0083423D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17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ED0675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论我国征信产品与服务的创新与发展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《黄河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>科技学院学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报》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2021年第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12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期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王银枝（第1）</w:t>
            </w:r>
          </w:p>
        </w:tc>
      </w:tr>
    </w:tbl>
    <w:p w:rsidR="001D5369" w:rsidRDefault="0083423D" w:rsidP="0083423D">
      <w:pPr>
        <w:ind w:firstLineChars="650" w:firstLine="2871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2021年度学院科研成果一览表（论文</w:t>
      </w:r>
      <w:r>
        <w:rPr>
          <w:rFonts w:ascii="楷体" w:eastAsia="楷体" w:hAnsi="楷体"/>
          <w:b/>
          <w:sz w:val="44"/>
          <w:szCs w:val="44"/>
        </w:rPr>
        <w:t>类</w:t>
      </w:r>
      <w:r>
        <w:rPr>
          <w:rFonts w:ascii="楷体" w:eastAsia="楷体" w:hAnsi="楷体" w:hint="eastAsia"/>
          <w:b/>
          <w:sz w:val="44"/>
          <w:szCs w:val="44"/>
        </w:rPr>
        <w:t>）</w:t>
      </w: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 w:hint="eastAsia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/>
          <w:b/>
          <w:sz w:val="44"/>
          <w:szCs w:val="44"/>
        </w:rPr>
      </w:pPr>
    </w:p>
    <w:p w:rsidR="0083423D" w:rsidRDefault="0083423D" w:rsidP="0083423D">
      <w:pPr>
        <w:rPr>
          <w:rFonts w:ascii="楷体" w:eastAsia="楷体" w:hAnsi="楷体" w:hint="eastAsia"/>
          <w:b/>
          <w:sz w:val="44"/>
          <w:szCs w:val="44"/>
        </w:rPr>
      </w:pPr>
    </w:p>
    <w:tbl>
      <w:tblPr>
        <w:tblpPr w:leftFromText="180" w:rightFromText="180" w:vertAnchor="page" w:horzAnchor="page" w:tblpX="583" w:tblpY="2250"/>
        <w:tblW w:w="13858" w:type="dxa"/>
        <w:tblLayout w:type="fixed"/>
        <w:tblLook w:val="04A0" w:firstRow="1" w:lastRow="0" w:firstColumn="1" w:lastColumn="0" w:noHBand="0" w:noVBand="1"/>
      </w:tblPr>
      <w:tblGrid>
        <w:gridCol w:w="927"/>
        <w:gridCol w:w="5135"/>
        <w:gridCol w:w="2551"/>
        <w:gridCol w:w="2410"/>
        <w:gridCol w:w="992"/>
        <w:gridCol w:w="1843"/>
      </w:tblGrid>
      <w:tr w:rsidR="0083423D" w:rsidTr="00ED0675">
        <w:trPr>
          <w:cantSplit/>
          <w:trHeight w:val="396"/>
        </w:trPr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18</w:t>
            </w:r>
          </w:p>
        </w:tc>
        <w:tc>
          <w:tcPr>
            <w:tcW w:w="5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3D" w:rsidRPr="009976C3" w:rsidRDefault="0083423D" w:rsidP="009976C3">
            <w:pPr>
              <w:jc w:val="center"/>
              <w:rPr>
                <w:rFonts w:ascii="楷体" w:eastAsia="楷体" w:hAnsi="楷体" w:cs="宋体" w:hint="eastAsia"/>
                <w:b/>
                <w:kern w:val="0"/>
                <w:sz w:val="24"/>
              </w:rPr>
            </w:pPr>
            <w:r w:rsidRPr="00ED0675">
              <w:rPr>
                <w:rFonts w:ascii="楷体" w:eastAsia="楷体" w:hAnsi="楷体" w:cs="宋体" w:hint="eastAsia"/>
                <w:b/>
                <w:kern w:val="0"/>
                <w:sz w:val="24"/>
              </w:rPr>
              <w:t>全面提升商业银行合规管理的思考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《河南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>经济报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》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</w:rPr>
              <w:t>2021-3-1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23D" w:rsidRPr="009976C3" w:rsidRDefault="0083423D" w:rsidP="009976C3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</w:rPr>
            </w:pPr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翟妤婕（独著）</w:t>
            </w:r>
          </w:p>
        </w:tc>
      </w:tr>
    </w:tbl>
    <w:p w:rsidR="001D5369" w:rsidRDefault="001D5369">
      <w:pPr>
        <w:rPr>
          <w:rFonts w:ascii="楷体" w:eastAsia="楷体" w:hAnsi="楷体"/>
          <w:b/>
          <w:sz w:val="36"/>
          <w:szCs w:val="36"/>
        </w:rPr>
      </w:pPr>
    </w:p>
    <w:p w:rsidR="001D5369" w:rsidRDefault="001D5369">
      <w:pPr>
        <w:rPr>
          <w:rFonts w:ascii="楷体" w:eastAsia="楷体" w:hAnsi="楷体"/>
          <w:b/>
          <w:sz w:val="36"/>
          <w:szCs w:val="36"/>
        </w:rPr>
      </w:pPr>
    </w:p>
    <w:sectPr w:rsidR="001D53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DB" w:rsidRDefault="006570DB" w:rsidP="009976C3">
      <w:r>
        <w:separator/>
      </w:r>
    </w:p>
  </w:endnote>
  <w:endnote w:type="continuationSeparator" w:id="0">
    <w:p w:rsidR="006570DB" w:rsidRDefault="006570DB" w:rsidP="0099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Segoe Print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DB" w:rsidRDefault="006570DB" w:rsidP="009976C3">
      <w:r>
        <w:separator/>
      </w:r>
    </w:p>
  </w:footnote>
  <w:footnote w:type="continuationSeparator" w:id="0">
    <w:p w:rsidR="006570DB" w:rsidRDefault="006570DB" w:rsidP="0099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9"/>
    <w:rsid w:val="000D66C1"/>
    <w:rsid w:val="000E4CEA"/>
    <w:rsid w:val="001D5369"/>
    <w:rsid w:val="00287B85"/>
    <w:rsid w:val="004A5382"/>
    <w:rsid w:val="004B5BA3"/>
    <w:rsid w:val="00533E49"/>
    <w:rsid w:val="005C3FC1"/>
    <w:rsid w:val="006570DB"/>
    <w:rsid w:val="00772861"/>
    <w:rsid w:val="007751F8"/>
    <w:rsid w:val="008027E9"/>
    <w:rsid w:val="0083423D"/>
    <w:rsid w:val="008513F3"/>
    <w:rsid w:val="0087375C"/>
    <w:rsid w:val="00943645"/>
    <w:rsid w:val="00980471"/>
    <w:rsid w:val="009976C3"/>
    <w:rsid w:val="00A207A4"/>
    <w:rsid w:val="00A75100"/>
    <w:rsid w:val="00AD19F9"/>
    <w:rsid w:val="00BA3DD2"/>
    <w:rsid w:val="00C81C08"/>
    <w:rsid w:val="00CC55B2"/>
    <w:rsid w:val="00CD2A19"/>
    <w:rsid w:val="00DC08C0"/>
    <w:rsid w:val="00DF5011"/>
    <w:rsid w:val="00ED0675"/>
    <w:rsid w:val="00EF2A0C"/>
    <w:rsid w:val="00F0462B"/>
    <w:rsid w:val="00F204B4"/>
    <w:rsid w:val="00F31ADD"/>
    <w:rsid w:val="00F84097"/>
    <w:rsid w:val="00FA6444"/>
    <w:rsid w:val="00FE4929"/>
    <w:rsid w:val="06994B72"/>
    <w:rsid w:val="0CE22122"/>
    <w:rsid w:val="0EA31115"/>
    <w:rsid w:val="19542C99"/>
    <w:rsid w:val="1C4240CB"/>
    <w:rsid w:val="1C6B5D5F"/>
    <w:rsid w:val="219C3B8C"/>
    <w:rsid w:val="242B168D"/>
    <w:rsid w:val="2B840471"/>
    <w:rsid w:val="2B98748A"/>
    <w:rsid w:val="2BCE0A2A"/>
    <w:rsid w:val="2CBA6AB3"/>
    <w:rsid w:val="35ED10EF"/>
    <w:rsid w:val="363969E9"/>
    <w:rsid w:val="3936521B"/>
    <w:rsid w:val="397955E3"/>
    <w:rsid w:val="3D342A78"/>
    <w:rsid w:val="3EBB3082"/>
    <w:rsid w:val="410B4F24"/>
    <w:rsid w:val="47662541"/>
    <w:rsid w:val="51EB222E"/>
    <w:rsid w:val="52C85C66"/>
    <w:rsid w:val="538F1DDB"/>
    <w:rsid w:val="54497DAF"/>
    <w:rsid w:val="568D3013"/>
    <w:rsid w:val="576C516B"/>
    <w:rsid w:val="59D95291"/>
    <w:rsid w:val="5C6C4809"/>
    <w:rsid w:val="61E1422F"/>
    <w:rsid w:val="61F87C51"/>
    <w:rsid w:val="622112AE"/>
    <w:rsid w:val="63C51DA7"/>
    <w:rsid w:val="68E13AC9"/>
    <w:rsid w:val="69DC1E59"/>
    <w:rsid w:val="6A991A3A"/>
    <w:rsid w:val="6BB473C8"/>
    <w:rsid w:val="6CC4500F"/>
    <w:rsid w:val="6FAB02E7"/>
    <w:rsid w:val="6FE754AC"/>
    <w:rsid w:val="71047375"/>
    <w:rsid w:val="72B31F63"/>
    <w:rsid w:val="744A7E60"/>
    <w:rsid w:val="75C713C5"/>
    <w:rsid w:val="75E96377"/>
    <w:rsid w:val="77EB4727"/>
    <w:rsid w:val="7A3B12A2"/>
    <w:rsid w:val="7C567B1C"/>
    <w:rsid w:val="7CB07D10"/>
    <w:rsid w:val="7D41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073F8"/>
  <w15:docId w15:val="{4B17DD89-2882-4ECA-BDE4-17E14163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99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976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43</cp:revision>
  <cp:lastPrinted>2021-06-08T02:10:00Z</cp:lastPrinted>
  <dcterms:created xsi:type="dcterms:W3CDTF">2021-01-12T10:56:00Z</dcterms:created>
  <dcterms:modified xsi:type="dcterms:W3CDTF">2022-11-23T09:05:00Z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